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an additional #-#</w:t>
      </w:r>
      <m:oMath>
        <m:sSup>
          <m:e>
            <m:r>
              <m:t>​</m:t>
            </m:r>
          </m:e>
          <m:sup>
            <m:r>
              <m:t>∘</m:t>
            </m:r>
          </m:sup>
        </m:sSup>
      </m:oMath>
      <w:r>
        <w:t xml:space="preserve">C by YEAR (IPCC 2021), accompanied by increasing severity and frequency of heat waves</w:t>
      </w:r>
      <w:r>
        <w:t xml:space="preserve"> </w:t>
      </w:r>
      <w:r>
        <w:t xml:space="preserve">(Meehl &amp; Tebaldi, 2004)</w:t>
      </w:r>
      <w:r>
        <w:t xml:space="preserve"> </w:t>
      </w:r>
      <w:r>
        <w:t xml:space="preserve">and hotter droughts</w:t>
      </w:r>
      <w:r>
        <w:t xml:space="preserve"> </w:t>
      </w:r>
      <w:r>
        <w:t xml:space="preserve">(</w:t>
      </w:r>
      <w:r>
        <w:rPr>
          <w:b/>
        </w:rPr>
        <w:t xml:space="preserve">???</w:t>
      </w:r>
      <w:r>
        <w:t xml:space="preserve">)</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
        </w:rPr>
        <w:t xml:space="preserve">et al.</w:t>
      </w:r>
      <w:r>
        <w:t xml:space="preserve">,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4"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Law</w:t>
      </w:r>
      <w:r>
        <w:t xml:space="preserve"> </w:t>
      </w:r>
      <w:r>
        <w:rPr>
          <w:i/>
        </w:rPr>
        <w:t xml:space="preserve">et al.</w:t>
      </w:r>
      <w:r>
        <w:t xml:space="preserve">, 2001; Baldocchi</w:t>
      </w:r>
      <w:r>
        <w:t xml:space="preserve"> </w:t>
      </w:r>
      <w:r>
        <w:rPr>
          <w:i/>
        </w:rPr>
        <w:t xml:space="preserve">et al.</w:t>
      </w:r>
      <w:r>
        <w:t xml:space="preserve">, 1997; Bonan, 2016;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 Bonan, 2016; Stark</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w:t>
      </w:r>
      <w:r>
        <w:rPr>
          <w:b/>
        </w:rPr>
        <w:t xml:space="preserve">???</w:t>
      </w:r>
      <w:r>
        <w:t xml:space="preserve">; Jucker</w:t>
      </w:r>
      <w:r>
        <w:t xml:space="preserve"> </w:t>
      </w:r>
      <w:r>
        <w:rPr>
          <w:i/>
        </w:rPr>
        <w:t xml:space="preserve">et al.</w:t>
      </w:r>
      <w:r>
        <w:t xml:space="preserve">, 2018; Muller</w:t>
      </w:r>
      <w:r>
        <w:t xml:space="preserve"> </w:t>
      </w:r>
      <w:r>
        <w:rPr>
          <w:i/>
        </w:rPr>
        <w:t xml:space="preserve">et al.</w:t>
      </w:r>
      <w:r>
        <w:t xml:space="preserve">, 2021;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w:t>
      </w:r>
      <w:r>
        <w:rPr>
          <w:i/>
        </w:rPr>
        <w:t xml:space="preserve">Defrenne et al. 2021</w:t>
      </w:r>
      <w:r>
        <w:t xml:space="preserve">; von Arx</w:t>
      </w:r>
      <w:r>
        <w:t xml:space="preserve"> </w:t>
      </w:r>
      <w:r>
        <w:rPr>
          <w:i/>
        </w:rPr>
        <w:t xml:space="preserve">et al.</w:t>
      </w:r>
      <w:r>
        <w:t xml:space="preserve">, 2012;</w:t>
      </w:r>
      <w:r>
        <w:t xml:space="preserve"> </w:t>
      </w:r>
      <w:r>
        <w:rPr>
          <w:b/>
        </w:rPr>
        <w:t xml:space="preserve">???</w:t>
      </w:r>
      <w:r>
        <w:t xml:space="preserve">;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 [Figs. 2, S1,</w:t>
      </w:r>
      <w:r>
        <w:rPr>
          <w:b/>
        </w:rPr>
        <w:t xml:space="preserve"> </w:t>
      </w:r>
      <w:r>
        <w:rPr>
          <w:i/>
          <w:b/>
        </w:rPr>
        <w:t xml:space="preserve">Defrenne et al.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w:t>
      </w:r>
      <w:r>
        <w:rPr>
          <w:b/>
        </w:rPr>
        <w:t xml:space="preserve">REF</w:t>
      </w:r>
      <w:r>
        <w:t xml:space="preserv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rPr>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
        </w:rPr>
        <w:t xml:space="preserve">et al.</w:t>
      </w:r>
      <w:r>
        <w:t xml:space="preserve"> </w:t>
      </w:r>
      <w:r>
        <w:t xml:space="preserve">(2019)</w:t>
      </w:r>
      <w:r>
        <w:t xml:space="preserve">;</w:t>
      </w:r>
      <w:r>
        <w:t xml:space="preserve"> </w:t>
      </w:r>
      <w:r>
        <w:t xml:space="preserve">Rey-Sánchez</w:t>
      </w:r>
      <w:r>
        <w:t xml:space="preserve"> </w:t>
      </w:r>
      <w:r>
        <w:rPr>
          <w:i/>
        </w:rPr>
        <w:t xml:space="preserve">et al.</w:t>
      </w:r>
      <w:r>
        <w:t xml:space="preserve"> </w:t>
      </w:r>
      <w:r>
        <w:t xml:space="preserve">(2016)</w:t>
      </w:r>
      <w:r>
        <w:t xml:space="preserve">;</w:t>
      </w:r>
      <w:r>
        <w:t xml:space="preserve"> </w:t>
      </w:r>
      <w:r>
        <w:t xml:space="preserve">von Arx</w:t>
      </w:r>
      <w:r>
        <w:t xml:space="preserve"> </w:t>
      </w:r>
      <w:r>
        <w:rPr>
          <w:i/>
        </w:rPr>
        <w:t xml:space="preserve">et al.</w:t>
      </w:r>
      <w:r>
        <w:t xml:space="preserve"> </w:t>
      </w:r>
      <w:r>
        <w:t xml:space="preserve">(2012)</w:t>
      </w:r>
      <w:r>
        <w:t xml:space="preserve">;</w:t>
      </w:r>
      <w:r>
        <w:t xml:space="preserve"> </w:t>
      </w:r>
      <w:r>
        <w:rPr>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basic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through radiation versus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attempted to oraganize</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r>
          <m:t>g</m:t>
        </m:r>
        <m:r>
          <m:t>a</m:t>
        </m:r>
      </m:oMath>
      <w:r>
        <w:t xml:space="preserve"> </w:t>
      </w:r>
      <w:r>
        <w:t xml:space="preserve">ie. boundary layer conductance) and latent heat loss (via</w:t>
      </w:r>
      <w:r>
        <w:t xml:space="preserve"> </w:t>
      </w:r>
      <m:oMath>
        <m:r>
          <m:t>g</m:t>
        </m:r>
        <m:r>
          <m:t>s</m:t>
        </m:r>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r>
          <m:t>G</m:t>
        </m:r>
        <m:r>
          <m:t>a</m:t>
        </m:r>
      </m:oMath>
      <w:r>
        <w:t xml:space="preserve"> </w:t>
      </w:r>
      <w:r>
        <w:t xml:space="preserve">and</w:t>
      </w:r>
      <w:r>
        <w:t xml:space="preserve"> </w:t>
      </w:r>
      <m:oMath>
        <m:r>
          <m:t>G</m:t>
        </m:r>
        <m:r>
          <m:t>s</m:t>
        </m:r>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that are exposed to high radiation loads, upto ~ 4</w:t>
      </w:r>
      <m:oMath>
        <m:sSup>
          <m:e>
            <m:r>
              <m:t>​</m:t>
            </m:r>
          </m:e>
          <m:sup>
            <m:r>
              <m:t>∘</m:t>
            </m:r>
          </m:sup>
        </m:sSup>
      </m:oMath>
      <w:r>
        <w:t xml:space="preserve">C (Fig. 3b)</w:t>
      </w:r>
      <w:r>
        <w:t xml:space="preserve">(</w:t>
      </w:r>
      <w:r>
        <w:rPr>
          <w:b/>
        </w:rPr>
        <w:t xml:space="preserve">???</w:t>
      </w:r>
      <w:r>
        <w:t xml:space="preserve">; Bonan, 2016)</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Therefore, along with windspeed</w:t>
      </w:r>
      <w:r>
        <w:t xml:space="preserve"> </w:t>
      </w:r>
      <m:oMath>
        <m:sSub>
          <m:e>
            <m:r>
              <m:t>T</m:t>
            </m:r>
          </m:e>
          <m:sub>
            <m:r>
              <m:t>l</m:t>
            </m:r>
            <m:r>
              <m:t>e</m:t>
            </m:r>
            <m:r>
              <m:t>a</m:t>
            </m:r>
            <m:r>
              <m:t>f</m:t>
            </m:r>
          </m:sub>
        </m:sSub>
      </m:oMath>
      <w:r>
        <w:t xml:space="preserve"> </w:t>
      </w:r>
      <w:r>
        <w:t xml:space="preserve">can fluctuate throughout the day. Additionally,</w:t>
      </w:r>
      <w:r>
        <w:t xml:space="preserve"> </w:t>
      </w:r>
      <m:oMath>
        <m:sSub>
          <m:e>
            <m:r>
              <m:t>T</m:t>
            </m:r>
          </m:e>
          <m:sub>
            <m:r>
              <m:t>l</m:t>
            </m:r>
            <m:r>
              <m:t>e</m:t>
            </m:r>
            <m:r>
              <m:t>a</m:t>
            </m:r>
            <m:r>
              <m:t>f</m:t>
            </m:r>
          </m:sub>
        </m:sSub>
        <m: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 heat dissapation through</w:t>
      </w:r>
      <w:r>
        <w:t xml:space="preserve"> </w:t>
      </w:r>
      <m:oMath>
        <m:r>
          <m:t>E</m:t>
        </m:r>
      </m:oMath>
      <w:r>
        <w:t xml:space="preserve"> </w:t>
      </w:r>
      <w:r>
        <w:t xml:space="preserve">and</w:t>
      </w:r>
      <w:r>
        <w:t xml:space="preserve"> </w:t>
      </w:r>
      <m:oMath>
        <m:r>
          <m:t>g</m:t>
        </m:r>
        <m:r>
          <m:t>s</m:t>
        </m:r>
      </m:oMath>
      <w:r>
        <w:t xml:space="preserve">.</w:t>
      </w:r>
    </w:p>
    <w:p>
      <w:pPr>
        <w:pStyle w:val="BodyText"/>
      </w:pPr>
      <w:r>
        <w:t xml:space="preserve">Latent heat loss through maximum</w:t>
      </w:r>
      <w:r>
        <w:t xml:space="preserve"> </w:t>
      </w:r>
      <m:oMath>
        <m:r>
          <m:t>g</m:t>
        </m:r>
        <m:r>
          <m:t>s</m:t>
        </m:r>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Leaf size and physiology [see next section] influence</w:t>
      </w:r>
      <w:r>
        <w:t xml:space="preserve"> </w:t>
      </w:r>
      <m:oMath>
        <m:r>
          <m:t>g</m:t>
        </m:r>
        <m:r>
          <m:t>a</m:t>
        </m:r>
      </m:oMath>
      <w:r>
        <w:t xml:space="preserve">,</w:t>
      </w:r>
      <w:r>
        <w:t xml:space="preserve"> </w:t>
      </w:r>
      <m:oMath>
        <m:r>
          <m:t>g</m:t>
        </m:r>
        <m:r>
          <m:t>s</m:t>
        </m:r>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r>
          <m:t>g</m:t>
        </m:r>
        <m:r>
          <m:t>a</m:t>
        </m:r>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Fauset</w:t>
      </w:r>
      <w:r>
        <w:t xml:space="preserve"> </w:t>
      </w:r>
      <w:r>
        <w:rPr>
          <w:i/>
        </w:rPr>
        <w:t xml:space="preserve">et al.</w:t>
      </w:r>
      <w:r>
        <w:t xml:space="preserve">, 2018; Song</w:t>
      </w:r>
      <w:r>
        <w:t xml:space="preserve"> </w:t>
      </w:r>
      <w:r>
        <w:rPr>
          <w:i/>
        </w:rPr>
        <w:t xml:space="preserve">et al.</w:t>
      </w:r>
      <w:r>
        <w:t xml:space="preserve">, 2020; Leuzinger &amp; Körner, 2007; Konrad</w:t>
      </w:r>
      <w:r>
        <w:t xml:space="preserve"> </w:t>
      </w:r>
      <w:r>
        <w:rPr>
          <w:i/>
        </w:rPr>
        <w:t xml:space="preserve">et al.</w:t>
      </w:r>
      <w:r>
        <w:t xml:space="preserve">)</w:t>
      </w:r>
      <w:r>
        <w:t xml:space="preserve">. Additionally, under low raditation, large leaves can be cooler than small leaves due to greater</w:t>
      </w:r>
      <w:r>
        <w:t xml:space="preserve"> </w:t>
      </w:r>
      <m:oMath>
        <m:r>
          <m:t>g</m:t>
        </m:r>
        <m:r>
          <m:t>s</m:t>
        </m:r>
      </m:oMath>
      <w:r>
        <w:t xml:space="preserve"> </w:t>
      </w:r>
      <w:r>
        <w:t xml:space="preserve">((Fig. 3 d; Leigh</w:t>
      </w:r>
      <w:r>
        <w:t xml:space="preserve"> </w:t>
      </w:r>
      <w:r>
        <w:rPr>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
        </w:rPr>
        <w:t xml:space="preserve">et al.</w:t>
      </w:r>
      <w:r>
        <w:t xml:space="preserve">, 2002; Schymanski</w:t>
      </w:r>
      <w:r>
        <w:t xml:space="preserve"> </w:t>
      </w:r>
      <w:r>
        <w:rPr>
          <w:i/>
        </w:rPr>
        <w:t xml:space="preserve">et al.</w:t>
      </w:r>
      <w:r>
        <w:t xml:space="preserve">, 2013)</w:t>
      </w:r>
      <w:r>
        <w:t xml:space="preserve">.</w:t>
      </w:r>
    </w:p>
    <w:p>
      <w:pPr>
        <w:pStyle w:val="BodyText"/>
      </w:pPr>
      <w:r>
        <w:rPr>
          <w:b/>
        </w:rPr>
        <w:t xml:space="preserve">Within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be much warmer than below canopies layers</w:t>
      </w:r>
      <w:r>
        <w:t xml:space="preserve"> </w:t>
      </w:r>
      <w:r>
        <w:t xml:space="preserve">(Miller</w:t>
      </w:r>
      <w:r>
        <w:t xml:space="preserve"> </w:t>
      </w:r>
      <w:r>
        <w:rPr>
          <w:i/>
        </w:rPr>
        <w:t xml:space="preserve">et al.</w:t>
      </w:r>
      <w:r>
        <w:t xml:space="preserve">, 2021)</w:t>
      </w:r>
      <w:r>
        <w:t xml:space="preserve">. On the other hand, open canopies, or lower canopy</w:t>
      </w:r>
      <w:r>
        <w:t xml:space="preserve"> </w:t>
      </w:r>
      <m:oMath>
        <m:r>
          <m:t>L</m:t>
        </m:r>
        <m:r>
          <m:t>A</m:t>
        </m:r>
        <m:r>
          <m:t>I</m:t>
        </m:r>
      </m:oMath>
      <w:r>
        <w:t xml:space="preserve"> </w:t>
      </w:r>
      <w:r>
        <w:t xml:space="preserve">allow more vertical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 as mentioned above</w:t>
      </w:r>
      <w:r>
        <w:t xml:space="preserve"> </w:t>
      </w:r>
      <w:r>
        <w:t xml:space="preserve">(</w:t>
      </w:r>
      <w:r>
        <w:rPr>
          <w:b/>
        </w:rPr>
        <w:t xml:space="preserve">???</w:t>
      </w:r>
      <w:r>
        <w:t xml:space="preserve">; Hardwick</w:t>
      </w:r>
      <w:r>
        <w:t xml:space="preserve"> </w:t>
      </w:r>
      <w:r>
        <w:rPr>
          <w:i/>
        </w:rPr>
        <w:t xml:space="preserve">et al.</w:t>
      </w:r>
      <w:r>
        <w:t xml:space="preserve">, 2015)</w:t>
      </w:r>
      <w:r>
        <w:t xml:space="preserve">.</w:t>
      </w:r>
    </w:p>
    <w:p>
      <w:pPr>
        <w:pStyle w:val="BodyText"/>
      </w:pPr>
      <w:r>
        <w:t xml:space="preserve">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w:t>
      </w:r>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Perez &amp; Feeley, 2018; Konrad</w:t>
      </w:r>
      <w:r>
        <w:t xml:space="preserve"> </w:t>
      </w:r>
      <w:r>
        <w:rPr>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in-situ</w:t>
      </w:r>
      <w:r>
        <w:rPr>
          <w:b/>
        </w:rPr>
        <w:t xml:space="preserve"> </w:t>
      </w:r>
      <m:oMath>
        <m:sSub>
          <m:e>
            <m:r>
              <m:t>T</m:t>
            </m:r>
          </m:e>
          <m:sub>
            <m:r>
              <m:t>l</m:t>
            </m:r>
            <m:r>
              <m:t>e</m:t>
            </m:r>
            <m:r>
              <m:t>a</m:t>
            </m:r>
            <m:r>
              <m:t>f</m:t>
            </m:r>
          </m:sub>
        </m:sSub>
      </m:oMath>
      <w:r>
        <w:rPr>
          <w:b/>
        </w:rPr>
        <w:t xml:space="preserve"> </w:t>
      </w:r>
      <w:r>
        <w:rPr>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can be greater than upper canopy</w:t>
      </w:r>
      <w:r>
        <w:t xml:space="preserve"> </w:t>
      </w:r>
      <m:oMath>
        <m:sSub>
          <m:e>
            <m:r>
              <m:t>T</m:t>
            </m:r>
          </m:e>
          <m:sub>
            <m:r>
              <m:t>l</m:t>
            </m:r>
            <m:r>
              <m:t>e</m:t>
            </m:r>
            <m:r>
              <m:t>a</m:t>
            </m:r>
            <m:r>
              <m:t>f</m:t>
            </m:r>
          </m:sub>
        </m:sSub>
      </m:oMath>
      <w:r>
        <w:t xml:space="preserve">, due to greater light permeability,</w:t>
      </w:r>
      <w:r>
        <w:t xml:space="preserve"> </w:t>
      </w:r>
      <w:r>
        <w:rPr>
          <w:i/>
        </w:rPr>
        <w:t xml:space="preserve">vertical air mixing</w:t>
      </w:r>
      <w:r>
        <w:t xml:space="preserve">,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optamize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where, for instance, being smaller, hairier, with higher vein density</w:t>
      </w:r>
      <w:r>
        <w:t xml:space="preserve"> </w:t>
      </w:r>
      <w:r>
        <w:t xml:space="preserve">(</w:t>
      </w:r>
      <w:r>
        <w:rPr>
          <w:b/>
        </w:rPr>
        <w:t xml:space="preserve">???</w:t>
      </w:r>
      <w:r>
        <w:t xml:space="preserve">; Sack</w:t>
      </w:r>
      <w:r>
        <w:t xml:space="preserve"> </w:t>
      </w:r>
      <w:r>
        <w:rPr>
          <w:i/>
        </w:rPr>
        <w:t xml:space="preserve">et al.</w:t>
      </w:r>
      <w:r>
        <w:t xml:space="preserve">, 2006; Leigh</w:t>
      </w:r>
      <w:r>
        <w:t xml:space="preserve"> </w:t>
      </w:r>
      <w:r>
        <w:rPr>
          <w:i/>
        </w:rPr>
        <w:t xml:space="preserve">et al.</w:t>
      </w:r>
      <w:r>
        <w:t xml:space="preserve">, 2017; VOGEL, 1970)</w:t>
      </w:r>
      <w:r>
        <w:t xml:space="preserve">, and steeper leaf-angle</w:t>
      </w:r>
      <w:r>
        <w:t xml:space="preserve"> </w:t>
      </w:r>
      <w:r>
        <w:t xml:space="preserve">(Niinemets, 1998,</w:t>
      </w:r>
      <w:r>
        <w:t xml:space="preserve"> </w:t>
      </w:r>
      <w:r>
        <w:rPr>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w:t>
      </w:r>
      <w:r>
        <w:rPr>
          <w:b/>
        </w:rPr>
        <w:t xml:space="preserve">???</w:t>
      </w:r>
      <w:r>
        <w:t xml:space="preserve">; Casas</w:t>
      </w:r>
      <w:r>
        <w:t xml:space="preserve"> </w:t>
      </w:r>
      <w:r>
        <w:rPr>
          <w:i/>
        </w:rPr>
        <w:t xml:space="preserve">et al.</w:t>
      </w:r>
      <w:r>
        <w:t xml:space="preserve">, 2011; Leigh</w:t>
      </w:r>
      <w:r>
        <w:t xml:space="preserve"> </w:t>
      </w:r>
      <w:r>
        <w:rPr>
          <w:i/>
        </w:rPr>
        <w:t xml:space="preserve">et al.</w:t>
      </w:r>
      <w:r>
        <w:t xml:space="preserve">, 2017; Mathur</w:t>
      </w:r>
      <w:r>
        <w:t xml:space="preserve"> </w:t>
      </w:r>
      <w:r>
        <w:rPr>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This is also important for leaf acclimation to higher temperature if high temperature impairs the photochemical energy dissipation pathway</w:t>
      </w:r>
      <w:r>
        <w:t xml:space="preserve"> </w:t>
      </w:r>
      <w:r>
        <w:t xml:space="preserve">(</w:t>
      </w:r>
      <w:r>
        <w:rPr>
          <w:b/>
        </w:rPr>
        <w:t xml:space="preserve">???</w:t>
      </w:r>
      <w:r>
        <w:t xml:space="preserve">)</w:t>
      </w:r>
      <w:r>
        <w:t xml:space="preserve">. Elemental traits, such as N and P differ with soil conditions, but leaf nitrogen distribution within a canopy can be regulated to prevent photoinhibition in shade leaves during sunlecks, and direct light for shade leaves</w:t>
      </w:r>
      <w:r>
        <w:t xml:space="preserve"> </w:t>
      </w:r>
      <w:r>
        <w:t xml:space="preserve">(Kitao</w:t>
      </w:r>
      <w:r>
        <w:t xml:space="preserve"> </w:t>
      </w:r>
      <w:r>
        <w:rPr>
          <w:i/>
        </w:rPr>
        <w:t xml:space="preserve">et al.</w:t>
      </w:r>
      <w:r>
        <w:t xml:space="preserve">, 2018)</w:t>
      </w:r>
      <w:r>
        <w:t xml:space="preserve">. Additionally, isoprenes facilitate higher heat tolerance in exposed canopies in species capable of emitting isoprenes, providing these species with a selective advantage in a warming world [</w:t>
      </w:r>
      <w:r>
        <w:rPr>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
        </w:rPr>
        <w:t xml:space="preserve">Leaf lifespan</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Sun leaves have shorter lifespans than shade leaves, and thus upper canopy leaves are on average younger than subcanopy leaves, they therefore operate closer to their photosynthetic optimum . However, because leaf turnover rates of sun leaves in the upper canopy are faster than in the subcanopy, damage does not really accumulate</w:t>
      </w:r>
      <w:r>
        <w:t xml:space="preserve"> </w:t>
      </w:r>
      <w:r>
        <w:t xml:space="preserve">(Miller</w:t>
      </w:r>
      <w:r>
        <w:t xml:space="preserve"> </w:t>
      </w:r>
      <w:r>
        <w:rPr>
          <w:i/>
        </w:rPr>
        <w:t xml:space="preserve">et al.</w:t>
      </w:r>
      <w:r>
        <w:t xml:space="preserve">, 2021)</w:t>
      </w:r>
      <w:r>
        <w:t xml:space="preserve">. The effect of leaf age on heat tolerance once leaves are fully expanded and mature, is XXX.</w:t>
      </w:r>
    </w:p>
    <w:bookmarkEnd w:id="35"/>
    <w:bookmarkEnd w:id="36"/>
    <w:bookmarkEnd w:id="37"/>
    <w:bookmarkStart w:id="39"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w:t>
      </w:r>
      <w:r>
        <w:t xml:space="preserve"> </w:t>
      </w:r>
      <w:r>
        <w:t xml:space="preserve">(Ishii and Asano, 2007; Ishii</w:t>
      </w:r>
      <w:r>
        <w:t xml:space="preserve"> </w:t>
      </w:r>
      <w:r>
        <w:rPr>
          <w:i/>
        </w:rPr>
        <w:t xml:space="preserve">et al.</w:t>
      </w:r>
      <w:r>
        <w:t xml:space="preserve">, 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8" w:name="deciduousness"/>
    <w:p>
      <w:pPr>
        <w:pStyle w:val="Heading5"/>
      </w:pPr>
      <w:r>
        <w:rPr>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w:t>
      </w:r>
      <w:r>
        <w:rPr>
          <w:b/>
        </w:rPr>
        <w:t xml:space="preserve">???</w:t>
      </w:r>
      <w:r>
        <w:t xml:space="preserve">)</w:t>
      </w:r>
      <w:r>
        <w:t xml:space="preserve">. In temperate deciduous forests, leaf-emergence is delayed with height-ontogeny, with understory species leafing-out earlier than canopy trees</w:t>
      </w:r>
      <w:r>
        <w:t xml:space="preserve"> </w:t>
      </w:r>
      <w:r>
        <w:t xml:space="preserve">(Vitasse</w:t>
      </w:r>
      <w:r>
        <w:t xml:space="preserve"> </w:t>
      </w:r>
      <w:r>
        <w:rPr>
          <w:i/>
        </w:rPr>
        <w:t xml:space="preserve">et al.</w:t>
      </w:r>
      <w:r>
        <w:t xml:space="preserve">, 2014; Seiwa, 1999)</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However, because of the high evaporative demand 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 Higher maximum temperatures influences leaf thermal sensitivity tolerance [Perez and Feeley, 2018], but exact mechanisms remain unclear.</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 [Slot et al. 2019], but sun leaves show a stronger decrease in gs to rising temperature than shade leaves (Hernandez et al. 2020; Carter et al. 2021 ).</w:t>
      </w:r>
    </w:p>
    <w:bookmarkEnd w:id="42"/>
    <w:bookmarkStart w:id="43"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Leaf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
        </w:rPr>
        <w:t xml:space="preserve">revisit this!</w:t>
      </w:r>
      <w:r>
        <w:t xml:space="preserve">;</w:t>
      </w:r>
      <w:r>
        <w:t xml:space="preserve"> </w:t>
      </w:r>
      <w:r>
        <w:t xml:space="preserve">Niinemets</w:t>
      </w:r>
      <w:r>
        <w:t xml:space="preserve"> </w:t>
      </w:r>
      <w:r>
        <w:rPr>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and along the vertical gradient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 Topt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
        </w:rPr>
        <w:t xml:space="preserve">Quercus muehlenbergii</w:t>
      </w:r>
      <w:r>
        <w:t xml:space="preserve">) growing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whereas</w:t>
      </w:r>
      <w:r>
        <w:t xml:space="preserve"> </w:t>
      </w:r>
      <w:r>
        <w:t xml:space="preserve">Griffin</w:t>
      </w:r>
      <w:r>
        <w:t xml:space="preserve"> </w:t>
      </w:r>
      <w:r>
        <w:rPr>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4">
        <w:r>
          <w:rPr>
            <w:rStyle w:val="Hyperlink"/>
            <w:i/>
          </w:rPr>
          <w:t xml:space="preserve">https://github.com/EcoClimLab/vertical-thermal-review/issues/8</w:t>
        </w:r>
      </w:hyperlink>
      <w:r>
        <w:rPr>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(‘Do increasing respiratory costs explain the decline with age of forest growth rate? | SpringerLink’)</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
        </w:rPr>
        <w:t xml:space="preserve">et al.</w:t>
      </w:r>
      <w:r>
        <w:t xml:space="preserve">, 2013; 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 Perez &amp; Feeley, 2018;</w:t>
      </w:r>
      <w:r>
        <w:t xml:space="preserve"> </w:t>
      </w:r>
      <w:r>
        <w:rPr>
          <w:b/>
        </w:rPr>
        <w:t xml:space="preserve">???</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(Bartholomew</w:t>
      </w:r>
      <w:r>
        <w:t xml:space="preserve"> </w:t>
      </w:r>
      <w:r>
        <w:rPr>
          <w:i/>
        </w:rPr>
        <w:t xml:space="preserve">et al.</w:t>
      </w:r>
      <w:r>
        <w:t xml:space="preserve">, 2020; Bennett</w:t>
      </w:r>
      <w:r>
        <w:t xml:space="preserve"> </w:t>
      </w:r>
      <w:r>
        <w:rPr>
          <w:i/>
        </w:rPr>
        <w:t xml:space="preserve">et al.</w:t>
      </w:r>
      <w:r>
        <w:t xml:space="preserve">, 2015; McGregor</w:t>
      </w:r>
      <w:r>
        <w:t xml:space="preserve"> </w:t>
      </w:r>
      <w:r>
        <w:rPr>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
        </w:rPr>
        <w:t xml:space="preserve">et al.</w:t>
      </w:r>
      <w:r>
        <w:t xml:space="preserve">, 2014)</w:t>
      </w:r>
      <w:r>
        <w:t xml:space="preserve">. Whereas in tropical forests higher nighttime temperatures was associated with decelarating tree growth rates predominantly in smaller trees but also in taller trees [</w:t>
      </w:r>
      <w:r>
        <w:rPr>
          <w:i/>
        </w:rPr>
        <w:t xml:space="preserve">Clark 2010; 2013; Feeley et al. 2007</w:t>
      </w:r>
      <w:r>
        <w:t xml:space="preserve">], perhaps due to increase in nighttime respiratory carbon loss that reduced carbon availability for growth.</w:t>
      </w:r>
    </w:p>
    <w:p>
      <w:pPr>
        <w:pStyle w:val="BodyText"/>
      </w:pPr>
      <w:r>
        <w:rPr>
          <w:b/>
        </w:rPr>
        <w:t xml:space="preserve">Recently emerging evidence indicates that understory trees tend to exhibit greater growth declines with increasing</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33" w:name="references"/>
    <w:p>
      <w:pPr>
        <w:pStyle w:val="Heading2"/>
      </w:pPr>
      <w:r>
        <w:t xml:space="preserve">References</w:t>
      </w:r>
    </w:p>
    <w:bookmarkStart w:id="232" w:name="refs"/>
    <w:bookmarkStart w:id="68"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8"/>
    <w:bookmarkStart w:id="69"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3"/>
    <w:bookmarkStart w:id="74"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4"/>
    <w:bookmarkStart w:id="75"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9"/>
    <w:bookmarkStart w:id="80"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0"/>
    <w:bookmarkStart w:id="81"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1"/>
    <w:bookmarkStart w:id="82"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2"/>
    <w:bookmarkStart w:id="83"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3"/>
    <w:bookmarkStart w:id="84" w:name="ref-bowmanWarmerWorldWill2014"/>
    <w:p>
      <w:pPr>
        <w:pStyle w:val="Bibliography"/>
      </w:pPr>
      <w:r>
        <w:rPr>
          <w:b w:val="0"/>
          <w:b/>
        </w:rPr>
        <w:t xml:space="preserve">Bowman DMJS</w:t>
      </w:r>
      <w:r>
        <w:rPr>
          <w:b/>
        </w:rPr>
        <w:t xml:space="preserve">,</w:t>
      </w:r>
      <w:r>
        <w:rPr>
          <w:b/>
        </w:rPr>
        <w:t xml:space="preserve"> </w:t>
      </w:r>
      <w:r>
        <w:rPr>
          <w:b w:val="0"/>
          <w:b/>
        </w:rPr>
        <w:t xml:space="preserve">Williamson GJ</w:t>
      </w:r>
      <w:r>
        <w:rPr>
          <w:b/>
        </w:rPr>
        <w:t xml:space="preserve">,</w:t>
      </w:r>
      <w:r>
        <w:rPr>
          <w:b/>
        </w:rPr>
        <w:t xml:space="preserve"> </w:t>
      </w:r>
      <w:r>
        <w:rPr>
          <w:b w:val="0"/>
          <w:b/>
        </w:rPr>
        <w:t xml:space="preserve">Keenan RJ</w:t>
      </w:r>
      <w:r>
        <w:rPr>
          <w:b/>
        </w:rPr>
        <w:t xml:space="preserve">,</w:t>
      </w:r>
      <w:r>
        <w:rPr>
          <w:b/>
        </w:rPr>
        <w:t xml:space="preserve"> </w:t>
      </w:r>
      <w:r>
        <w:rPr>
          <w:b w:val="0"/>
          <w:b/>
        </w:rPr>
        <w:t xml:space="preserve">Prior LD</w:t>
      </w:r>
      <w:r>
        <w:t xml:space="preserve">.</w:t>
      </w:r>
      <w:r>
        <w:t xml:space="preserve"> </w:t>
      </w:r>
      <w:r>
        <w:rPr>
          <w:b/>
        </w:rPr>
        <w:t xml:space="preserve">2014</w:t>
      </w:r>
      <w:r>
        <w:t xml:space="preserve">. A warmer world will reduce tree growth in evergreen broadleaf forests: Evidence from Australian temperate and subtropical eucalypt forests.</w:t>
      </w:r>
      <w:r>
        <w:t xml:space="preserve"> </w:t>
      </w:r>
      <w:r>
        <w:rPr>
          <w:i/>
        </w:rPr>
        <w:t xml:space="preserve">Global Ecology and Biogeography</w:t>
      </w:r>
      <w:r>
        <w:t xml:space="preserve"> </w:t>
      </w:r>
      <w:r>
        <w:rPr>
          <w:b/>
        </w:rPr>
        <w:t xml:space="preserve">23</w:t>
      </w:r>
      <w:r>
        <w:t xml:space="preserve">: 925–934.</w:t>
      </w:r>
    </w:p>
    <w:bookmarkEnd w:id="84"/>
    <w:bookmarkStart w:id="85"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5"/>
    <w:bookmarkStart w:id="86"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6"/>
    <w:bookmarkStart w:id="8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7"/>
    <w:bookmarkStart w:id="8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8"/>
    <w:bookmarkStart w:id="8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IncreasingRespiratoryCosts"/>
    <w:p>
      <w:pPr>
        <w:pStyle w:val="Bibliography"/>
      </w:pPr>
      <w:r>
        <w:rPr>
          <w:b/>
        </w:rPr>
        <w:t xml:space="preserve">Do increasing respiratory costs explain the decline with age of forest growth rate? | SpringerLink</w:t>
      </w:r>
      <w:r>
        <w:t xml:space="preserve">.</w:t>
      </w:r>
    </w:p>
    <w:bookmarkEnd w:id="101"/>
    <w:bookmarkStart w:id="102"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2"/>
    <w:bookmarkStart w:id="103"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3"/>
    <w:bookmarkStart w:id="104"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4"/>
    <w:bookmarkStart w:id="105"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5"/>
    <w:bookmarkStart w:id="10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6"/>
    <w:bookmarkStart w:id="10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7"/>
    <w:bookmarkStart w:id="108"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9"/>
    <w:bookmarkStart w:id="120"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20"/>
    <w:bookmarkStart w:id="121"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1"/>
    <w:bookmarkStart w:id="12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2"/>
    <w:bookmarkStart w:id="123"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23"/>
    <w:bookmarkStart w:id="124"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4"/>
    <w:bookmarkStart w:id="12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5"/>
    <w:bookmarkStart w:id="12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6"/>
    <w:bookmarkStart w:id="12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7"/>
    <w:bookmarkStart w:id="12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8"/>
    <w:bookmarkStart w:id="129"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29"/>
    <w:bookmarkStart w:id="13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0"/>
    <w:bookmarkStart w:id="131"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1"/>
    <w:bookmarkStart w:id="132"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2"/>
    <w:bookmarkStart w:id="133"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33"/>
    <w:bookmarkStart w:id="134" w:name="ref-leighThickLeavesAvoid2012"/>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Ball MC</w:t>
      </w:r>
      <w:r>
        <w:rPr>
          <w:b/>
        </w:rPr>
        <w:t xml:space="preserve">,</w:t>
      </w:r>
      <w:r>
        <w:rPr>
          <w:b/>
        </w:rPr>
        <w:t xml:space="preserve"> </w:t>
      </w:r>
      <w:r>
        <w:rPr>
          <w:b w:val="0"/>
          <w:b/>
        </w:rPr>
        <w:t xml:space="preserve">Close JD</w:t>
      </w:r>
      <w:r>
        <w:rPr>
          <w:b/>
        </w:rPr>
        <w:t xml:space="preserve">,</w:t>
      </w:r>
      <w:r>
        <w:rPr>
          <w:b/>
        </w:rPr>
        <w:t xml:space="preserve"> </w:t>
      </w:r>
      <w:r>
        <w:rPr>
          <w:b w:val="0"/>
          <w:b/>
        </w:rPr>
        <w:t xml:space="preserve">Ellsworth DS</w:t>
      </w:r>
      <w:r>
        <w:rPr>
          <w:b/>
        </w:rPr>
        <w:t xml:space="preserve">,</w:t>
      </w:r>
      <w:r>
        <w:rPr>
          <w:b/>
        </w:rPr>
        <w:t xml:space="preserve"> </w:t>
      </w:r>
      <w:r>
        <w:rPr>
          <w:b w:val="0"/>
          <w:b/>
        </w:rPr>
        <w:t xml:space="preserve">Knight CA</w:t>
      </w:r>
      <w:r>
        <w:rPr>
          <w:b/>
        </w:rPr>
        <w:t xml:space="preserve">,</w:t>
      </w:r>
      <w:r>
        <w:rPr>
          <w:b/>
        </w:rPr>
        <w:t xml:space="preserve"> </w:t>
      </w:r>
      <w:r>
        <w:rPr>
          <w:b w:val="0"/>
          <w:b/>
        </w:rPr>
        <w:t xml:space="preserve">Nicotra AB</w:t>
      </w:r>
      <w:r>
        <w:rPr>
          <w:b/>
        </w:rPr>
        <w:t xml:space="preserve">,</w:t>
      </w:r>
      <w:r>
        <w:rPr>
          <w:b/>
        </w:rPr>
        <w:t xml:space="preserve"> </w:t>
      </w:r>
      <w:r>
        <w:rPr>
          <w:b w:val="0"/>
          <w:b/>
        </w:rPr>
        <w:t xml:space="preserve">Vogel S</w:t>
      </w:r>
      <w:r>
        <w:t xml:space="preserve">.</w:t>
      </w:r>
      <w:r>
        <w:t xml:space="preserve"> </w:t>
      </w:r>
      <w:r>
        <w:rPr>
          <w:b/>
        </w:rPr>
        <w:t xml:space="preserve">2012</w:t>
      </w:r>
      <w:r>
        <w:t xml:space="preserve">. Do thick leaves avoid thermal damage in critically low wind speeds?</w:t>
      </w:r>
      <w:r>
        <w:t xml:space="preserve"> </w:t>
      </w:r>
      <w:r>
        <w:rPr>
          <w:i/>
        </w:rPr>
        <w:t xml:space="preserve">New Phytologist</w:t>
      </w:r>
      <w:r>
        <w:t xml:space="preserve"> </w:t>
      </w:r>
      <w:r>
        <w:rPr>
          <w:b/>
        </w:rPr>
        <w:t xml:space="preserve">194</w:t>
      </w:r>
      <w:r>
        <w:t xml:space="preserve">: 477–487.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41"/>
    <w:bookmarkStart w:id="14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2"/>
    <w:bookmarkStart w:id="14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3"/>
    <w:bookmarkStart w:id="14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6"/>
    <w:bookmarkStart w:id="147"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7"/>
    <w:bookmarkStart w:id="148"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8"/>
    <w:bookmarkStart w:id="149"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9"/>
    <w:bookmarkStart w:id="150"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0"/>
    <w:bookmarkStart w:id="151"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1"/>
    <w:bookmarkStart w:id="152"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2"/>
    <w:bookmarkStart w:id="153"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3"/>
    <w:bookmarkStart w:id="15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4"/>
    <w:bookmarkStart w:id="15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5"/>
    <w:bookmarkStart w:id="15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6"/>
    <w:bookmarkStart w:id="157"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7"/>
    <w:bookmarkStart w:id="158"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8"/>
    <w:bookmarkStart w:id="159"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9"/>
    <w:bookmarkStart w:id="160"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0"/>
    <w:bookmarkStart w:id="161"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1"/>
    <w:bookmarkStart w:id="162"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2"/>
    <w:bookmarkStart w:id="163"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3"/>
    <w:bookmarkStart w:id="164"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64"/>
    <w:bookmarkStart w:id="165"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5"/>
    <w:bookmarkStart w:id="166"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66"/>
    <w:bookmarkStart w:id="167"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7"/>
    <w:bookmarkStart w:id="168"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8"/>
    <w:bookmarkStart w:id="169"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9"/>
    <w:bookmarkStart w:id="170"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0"/>
    <w:bookmarkStart w:id="171"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1"/>
    <w:bookmarkStart w:id="172"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2"/>
    <w:bookmarkStart w:id="173"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3"/>
    <w:bookmarkStart w:id="174"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4"/>
    <w:bookmarkStart w:id="175"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5"/>
    <w:bookmarkStart w:id="176"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6"/>
    <w:bookmarkStart w:id="177"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7"/>
    <w:bookmarkStart w:id="178"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8"/>
    <w:bookmarkStart w:id="17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9"/>
    <w:bookmarkStart w:id="18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0"/>
    <w:bookmarkStart w:id="18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81"/>
    <w:bookmarkStart w:id="18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2"/>
    <w:bookmarkStart w:id="183"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3"/>
    <w:bookmarkStart w:id="184"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4"/>
    <w:bookmarkStart w:id="185"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5"/>
    <w:bookmarkStart w:id="186"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6"/>
    <w:bookmarkStart w:id="187"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7"/>
    <w:bookmarkStart w:id="18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8"/>
    <w:bookmarkStart w:id="18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9"/>
    <w:bookmarkStart w:id="19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0"/>
    <w:bookmarkStart w:id="191"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1"/>
    <w:bookmarkStart w:id="192"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2"/>
    <w:bookmarkStart w:id="19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3"/>
    <w:bookmarkStart w:id="194"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4"/>
    <w:bookmarkStart w:id="195"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5"/>
    <w:bookmarkStart w:id="196"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6"/>
    <w:bookmarkStart w:id="197"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7"/>
    <w:bookmarkStart w:id="198"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8"/>
    <w:bookmarkStart w:id="199"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9"/>
    <w:bookmarkStart w:id="200"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0"/>
    <w:bookmarkStart w:id="201"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1"/>
    <w:bookmarkStart w:id="202"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2"/>
    <w:bookmarkStart w:id="203"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3"/>
    <w:bookmarkStart w:id="204"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4"/>
    <w:bookmarkStart w:id="205" w:name="ref-stillImagingCanopyTemperature"/>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 Imaging canopy temperature: Shedding (thermal) light on ecosystem processes.</w:t>
      </w:r>
      <w:r>
        <w:t xml:space="preserve"> </w:t>
      </w:r>
      <w:r>
        <w:rPr>
          <w:i/>
        </w:rPr>
        <w:t xml:space="preserve">New Phytologist</w:t>
      </w:r>
      <w:r>
        <w:t xml:space="preserve"> </w:t>
      </w:r>
      <w:r>
        <w:rPr>
          <w:b/>
        </w:rPr>
        <w:t xml:space="preserve">n/a</w:t>
      </w:r>
      <w:r>
        <w:t xml:space="preserve">.</w:t>
      </w:r>
    </w:p>
    <w:bookmarkEnd w:id="205"/>
    <w:bookmarkStart w:id="20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6"/>
    <w:bookmarkStart w:id="20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7"/>
    <w:bookmarkStart w:id="208"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08"/>
    <w:bookmarkStart w:id="20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9"/>
    <w:bookmarkStart w:id="21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0"/>
    <w:bookmarkStart w:id="21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1"/>
    <w:bookmarkStart w:id="21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2"/>
    <w:bookmarkStart w:id="21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3"/>
    <w:bookmarkStart w:id="21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4"/>
    <w:bookmarkStart w:id="215"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15"/>
    <w:bookmarkStart w:id="216"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16"/>
    <w:bookmarkStart w:id="217"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7"/>
    <w:bookmarkStart w:id="218"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8"/>
    <w:bookmarkStart w:id="21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9"/>
    <w:bookmarkStart w:id="22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0"/>
    <w:bookmarkStart w:id="22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1"/>
    <w:bookmarkStart w:id="22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2"/>
    <w:bookmarkStart w:id="223"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23"/>
    <w:bookmarkStart w:id="22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4"/>
    <w:bookmarkStart w:id="22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5"/>
    <w:bookmarkStart w:id="22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6"/>
    <w:bookmarkStart w:id="22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7"/>
    <w:bookmarkStart w:id="22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8"/>
    <w:bookmarkStart w:id="22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9"/>
    <w:bookmarkStart w:id="230"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0"/>
    <w:bookmarkStart w:id="231"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1"/>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2021-07-05T12:20:37Z</dcterms:created>
  <dcterms:modified xsi:type="dcterms:W3CDTF">2021-07-05T12:20:37Z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